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5E4" w:rsidRPr="00EE419E" w:rsidRDefault="00B57E20" w:rsidP="00B57E20">
      <w:pPr>
        <w:jc w:val="center"/>
        <w:rPr>
          <w:rFonts w:ascii="微軟正黑體" w:eastAsia="微軟正黑體" w:hAnsi="微軟正黑體"/>
          <w:sz w:val="72"/>
          <w:szCs w:val="72"/>
          <w14:glow w14:rad="101600">
            <w14:schemeClr w14:val="accent3">
              <w14:alpha w14:val="40000"/>
              <w14:lumMod w14:val="40000"/>
              <w14:lumOff w14:val="60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E419E">
        <w:rPr>
          <w:rFonts w:ascii="微軟正黑體" w:eastAsia="微軟正黑體" w:hAnsi="微軟正黑體" w:hint="eastAsia"/>
          <w:sz w:val="72"/>
          <w:szCs w:val="72"/>
          <w14:glow w14:rad="101600">
            <w14:schemeClr w14:val="accent3">
              <w14:alpha w14:val="40000"/>
              <w14:lumMod w14:val="40000"/>
              <w14:lumOff w14:val="60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登革熱防治,你我有妙招</w:t>
      </w:r>
      <w:r w:rsidR="00A755A8">
        <w:rPr>
          <w:rFonts w:ascii="微軟正黑體" w:eastAsia="微軟正黑體" w:hAnsi="微軟正黑體" w:hint="eastAsia"/>
          <w:sz w:val="72"/>
          <w:szCs w:val="72"/>
          <w14:glow w14:rad="101600">
            <w14:schemeClr w14:val="accent3">
              <w14:alpha w14:val="40000"/>
              <w14:lumMod w14:val="40000"/>
              <w14:lumOff w14:val="60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!</w:t>
      </w:r>
      <w:r w:rsidR="00EE419E">
        <w:rPr>
          <w:rFonts w:ascii="微軟正黑體" w:eastAsia="微軟正黑體" w:hAnsi="微軟正黑體"/>
          <w:noProof/>
          <w:sz w:val="72"/>
          <w:szCs w:val="72"/>
        </w:rPr>
        <w:drawing>
          <wp:inline distT="0" distB="0" distL="0" distR="0">
            <wp:extent cx="2009775" cy="1580714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登革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433" cy="158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19E" w:rsidRDefault="00EE419E" w:rsidP="00B57E20">
      <w:pPr>
        <w:jc w:val="center"/>
        <w:rPr>
          <w:rFonts w:ascii="微軟正黑體" w:eastAsia="微軟正黑體" w:hAnsi="微軟正黑體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登革熱（Dengue fever），是一種</w:t>
      </w:r>
      <w:proofErr w:type="gramStart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由登革病毒</w:t>
      </w:r>
      <w:proofErr w:type="gramEnd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所引起的急性傳染病，這種病毒會經由蚊子傳播給人類。並且依據不同的血清型病毒，分為Ⅰ、Ⅱ、Ⅲ、Ⅳ四種型別，而每一型都具有能感染致病的能力。</w:t>
      </w:r>
      <w:r w:rsidRPr="00EE419E">
        <w:rPr>
          <w:rFonts w:ascii="微軟正黑體" w:eastAsia="微軟正黑體" w:hAnsi="微軟正黑體" w:hint="eastAsia"/>
          <w:color w:val="504E4E"/>
          <w:szCs w:val="2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/>
      </w:r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如果患者感染到某一型</w:t>
      </w:r>
      <w:proofErr w:type="gramStart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的登革病毒</w:t>
      </w:r>
      <w:proofErr w:type="gramEnd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，就會對那一型的病毒具有終身免疫，但是對於其他型別</w:t>
      </w:r>
      <w:proofErr w:type="gramStart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的登革病毒</w:t>
      </w:r>
      <w:proofErr w:type="gramEnd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僅具有短暫的免疫力（通常約為2-9個月之間），過了這段期間以後，還是有可能再感染其他型別。例如以前曾得到過第Ⅰ型登革熱，雖不會再得到第Ⅰ型登革熱，但之後仍有可能還會得到第Ⅱ、Ⅲ、Ⅳ型等三型的登革熱。</w:t>
      </w:r>
      <w:r w:rsidRPr="00EE419E">
        <w:rPr>
          <w:rFonts w:ascii="微軟正黑體" w:eastAsia="微軟正黑體" w:hAnsi="微軟正黑體" w:hint="eastAsia"/>
          <w:color w:val="504E4E"/>
          <w:szCs w:val="2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/>
      </w:r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臨床上重複感染不同</w:t>
      </w:r>
      <w:proofErr w:type="gramStart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型登革病毒</w:t>
      </w:r>
      <w:proofErr w:type="gramEnd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，可引起宿主不同程度的反應，從輕微或不明顯的症狀，到發燒、出疹的典型登革熱，或出現嗜睡、躁動不安、肝臟腫大等警示徵象，甚至可能導致嚴重出血或嚴重器官損傷的登革熱重症。</w:t>
      </w:r>
      <w:r w:rsidRPr="00EE419E">
        <w:rPr>
          <w:rFonts w:ascii="微軟正黑體" w:eastAsia="微軟正黑體" w:hAnsi="微軟正黑體" w:hint="eastAsia"/>
          <w:color w:val="504E4E"/>
          <w:szCs w:val="24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br/>
      </w:r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全球登革熱的好發地區，主要集中在熱帶、亞熱帶等有埃及</w:t>
      </w:r>
      <w:proofErr w:type="gramStart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斑蚊和白</w:t>
      </w:r>
      <w:proofErr w:type="gramEnd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線斑蚊分布的國家，但隨著全球化發展逐漸便利，各國之間相互流通及往返也趨於頻</w:t>
      </w:r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lastRenderedPageBreak/>
        <w:t>繁，自</w:t>
      </w:r>
      <w:proofErr w:type="gramStart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1980</w:t>
      </w:r>
      <w:proofErr w:type="gramEnd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年代之後，登革熱也開始有向各國蔓延的趨勢，也逐漸成為嚴重的公共衛生問題了。臺灣位於亞熱帶地區，像這樣有點熱、又有點</w:t>
      </w:r>
      <w:proofErr w:type="gramStart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>溼</w:t>
      </w:r>
      <w:proofErr w:type="gramEnd"/>
      <w:r w:rsidRPr="00EE419E">
        <w:rPr>
          <w:rFonts w:ascii="微軟正黑體" w:eastAsia="微軟正黑體" w:hAnsi="微軟正黑體" w:hint="eastAsia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  <w:t xml:space="preserve">的環境，正是蚊子最喜歡的生長環境，所以如果稍微不注意，很容易就會成為登革熱流行的地區。 </w:t>
      </w:r>
    </w:p>
    <w:p w:rsidR="00EE419E" w:rsidRPr="00EE419E" w:rsidRDefault="00EE419E" w:rsidP="00EE419E">
      <w:pPr>
        <w:rPr>
          <w:rFonts w:ascii="微軟正黑體" w:eastAsia="微軟正黑體" w:hAnsi="微軟正黑體"/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</w:p>
    <w:p w:rsidR="00EE419E" w:rsidRDefault="00EE419E" w:rsidP="00B57E20">
      <w:pPr>
        <w:jc w:val="center"/>
        <w:rPr>
          <w:color w:val="504E4E"/>
          <w:szCs w:val="24"/>
          <w:shd w:val="clear" w:color="auto" w:fill="F7F7F7"/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</w:p>
    <w:p w:rsidR="00EE419E" w:rsidRPr="00EE419E" w:rsidRDefault="00EE419E" w:rsidP="00EE419E">
      <w:pPr>
        <w:widowControl/>
        <w:shd w:val="clear" w:color="auto" w:fill="1E7FB8"/>
        <w:spacing w:after="150" w:line="360" w:lineRule="atLeast"/>
        <w:ind w:left="-480"/>
        <w:outlineLvl w:val="1"/>
        <w:rPr>
          <w:rFonts w:ascii="微軟正黑體" w:eastAsia="微軟正黑體" w:hAnsi="微軟正黑體" w:cs="Arial"/>
          <w:color w:val="FFFFFF"/>
          <w:spacing w:val="15"/>
          <w:kern w:val="0"/>
          <w:szCs w:val="24"/>
        </w:rPr>
      </w:pPr>
      <w:r w:rsidRPr="00EE419E">
        <w:rPr>
          <w:rFonts w:ascii="微軟正黑體" w:eastAsia="微軟正黑體" w:hAnsi="微軟正黑體" w:cs="Arial"/>
          <w:color w:val="FFFFFF"/>
          <w:spacing w:val="15"/>
          <w:kern w:val="0"/>
          <w:szCs w:val="24"/>
        </w:rPr>
        <w:t>傳播方式：</w:t>
      </w:r>
    </w:p>
    <w:p w:rsidR="00A755A8" w:rsidRDefault="00EE419E" w:rsidP="00EE419E">
      <w:pPr>
        <w:widowControl/>
        <w:shd w:val="clear" w:color="auto" w:fill="FFFFFF"/>
        <w:spacing w:line="360" w:lineRule="atLeast"/>
        <w:rPr>
          <w:rFonts w:ascii="微軟正黑體" w:eastAsia="微軟正黑體" w:hAnsi="微軟正黑體" w:cs="Arial"/>
          <w:color w:val="504E4E"/>
          <w:kern w:val="0"/>
          <w:szCs w:val="24"/>
        </w:rPr>
      </w:pPr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臺灣主要傳播登革熱的</w:t>
      </w:r>
      <w:proofErr w:type="gramStart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病媒蚊為埃及</w:t>
      </w:r>
      <w:proofErr w:type="gramEnd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斑蚊（</w:t>
      </w:r>
      <w:proofErr w:type="spellStart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Aedes</w:t>
      </w:r>
      <w:proofErr w:type="spellEnd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 xml:space="preserve"> </w:t>
      </w:r>
      <w:proofErr w:type="spellStart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aegypti</w:t>
      </w:r>
      <w:proofErr w:type="spellEnd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）及白線斑蚊（</w:t>
      </w:r>
      <w:proofErr w:type="spellStart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Aedes</w:t>
      </w:r>
      <w:proofErr w:type="spellEnd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 xml:space="preserve"> </w:t>
      </w:r>
      <w:proofErr w:type="spellStart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albopictus</w:t>
      </w:r>
      <w:proofErr w:type="spellEnd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），這些蚊子的特徵都是身體是黑色的，腳上有白斑。其中埃及斑蚊的胸部兩側具有</w:t>
      </w:r>
      <w:proofErr w:type="gramStart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一對似</w:t>
      </w:r>
      <w:proofErr w:type="gramEnd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七弦琴的縱線及中間一對黃色的縱線，喜歡棲息於室內的人工容器，或是人為所造成積水的地方；白線</w:t>
      </w:r>
      <w:proofErr w:type="gramStart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斑蚊則是</w:t>
      </w:r>
      <w:proofErr w:type="gramEnd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中胸</w:t>
      </w:r>
      <w:proofErr w:type="gramStart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楯</w:t>
      </w:r>
      <w:proofErr w:type="gramEnd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板部位</w:t>
      </w:r>
      <w:proofErr w:type="gramStart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中間，</w:t>
      </w:r>
      <w:proofErr w:type="gramEnd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有一條白色且明顯</w:t>
      </w:r>
      <w:proofErr w:type="gramStart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的縱紋</w:t>
      </w:r>
      <w:proofErr w:type="gramEnd"/>
      <w:r w:rsidRPr="00EE419E">
        <w:rPr>
          <w:rFonts w:ascii="微軟正黑體" w:eastAsia="微軟正黑體" w:hAnsi="微軟正黑體" w:cs="Arial"/>
          <w:color w:val="504E4E"/>
          <w:kern w:val="0"/>
          <w:szCs w:val="24"/>
        </w:rPr>
        <w:t>，並比較喜歡棲息於室外。一天叮咬人的高峰期約在日出後的1-2小時及日落前的2-3小時，此時到戶外活動請做好自我保護措施。</w:t>
      </w:r>
    </w:p>
    <w:p w:rsidR="00A755A8" w:rsidRDefault="00A755A8" w:rsidP="00EE419E">
      <w:pPr>
        <w:widowControl/>
        <w:shd w:val="clear" w:color="auto" w:fill="FFFFFF"/>
        <w:spacing w:line="360" w:lineRule="atLeast"/>
        <w:rPr>
          <w:rFonts w:ascii="微軟正黑體" w:eastAsia="微軟正黑體" w:hAnsi="微軟正黑體" w:cs="Arial"/>
          <w:noProof/>
          <w:color w:val="504E4E"/>
          <w:kern w:val="0"/>
          <w:szCs w:val="24"/>
        </w:rPr>
      </w:pPr>
    </w:p>
    <w:p w:rsidR="00EE419E" w:rsidRPr="00EE419E" w:rsidRDefault="00EE419E" w:rsidP="00EE419E">
      <w:pPr>
        <w:widowControl/>
        <w:shd w:val="clear" w:color="auto" w:fill="FFFFFF"/>
        <w:spacing w:line="360" w:lineRule="atLeast"/>
        <w:rPr>
          <w:rFonts w:ascii="微軟正黑體" w:eastAsia="微軟正黑體" w:hAnsi="微軟正黑體" w:cs="Arial"/>
          <w:color w:val="504E4E"/>
          <w:kern w:val="0"/>
          <w:szCs w:val="24"/>
        </w:rPr>
      </w:pPr>
    </w:p>
    <w:p w:rsidR="00A755A8" w:rsidRDefault="00A755A8" w:rsidP="00B57E20">
      <w:pPr>
        <w:jc w:val="center"/>
        <w:rPr>
          <w:rFonts w:ascii="微軟正黑體" w:eastAsia="微軟正黑體" w:hAnsi="微軟正黑體"/>
          <w:szCs w:val="24"/>
          <w14:glow w14:rad="101600">
            <w14:schemeClr w14:val="accent3">
              <w14:alpha w14:val="40000"/>
              <w14:lumMod w14:val="40000"/>
              <w14:lumOff w14:val="60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bevel/>
          </w14:textOutline>
        </w:rPr>
      </w:pPr>
      <w:r>
        <w:rPr>
          <w:rFonts w:ascii="微軟正黑體" w:eastAsia="微軟正黑體" w:hAnsi="微軟正黑體" w:cs="Arial"/>
          <w:noProof/>
          <w:color w:val="504E4E"/>
          <w:kern w:val="0"/>
          <w:szCs w:val="24"/>
        </w:rPr>
        <w:lastRenderedPageBreak/>
        <w:drawing>
          <wp:inline distT="0" distB="0" distL="0" distR="0" wp14:anchorId="1F987FDB" wp14:editId="386DBCC1">
            <wp:extent cx="5174960" cy="3009900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ngu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228" cy="302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5A8" w:rsidRPr="00A755A8" w:rsidRDefault="00A755A8" w:rsidP="00A755A8">
      <w:pPr>
        <w:rPr>
          <w:rFonts w:ascii="微軟正黑體" w:eastAsia="微軟正黑體" w:hAnsi="微軟正黑體"/>
          <w:szCs w:val="24"/>
        </w:rPr>
      </w:pPr>
    </w:p>
    <w:p w:rsidR="00EE419E" w:rsidRDefault="00A755A8" w:rsidP="00A755A8">
      <w:pPr>
        <w:tabs>
          <w:tab w:val="left" w:pos="3180"/>
        </w:tabs>
        <w:jc w:val="center"/>
        <w:rPr>
          <w:rFonts w:ascii="微軟正黑體" w:eastAsia="微軟正黑體" w:hAnsi="微軟正黑體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A755A8">
        <w:rPr>
          <w:rFonts w:ascii="微軟正黑體" w:eastAsia="微軟正黑體" w:hAnsi="微軟正黑體" w:hint="eastAsia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病媒</w:t>
      </w:r>
      <w:proofErr w:type="gramStart"/>
      <w:r w:rsidRPr="00A755A8">
        <w:rPr>
          <w:rFonts w:ascii="微軟正黑體" w:eastAsia="微軟正黑體" w:hAnsi="微軟正黑體" w:hint="eastAsia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蚊</w:t>
      </w:r>
      <w:proofErr w:type="gramEnd"/>
    </w:p>
    <w:p w:rsidR="00A755A8" w:rsidRDefault="00A755A8" w:rsidP="00A755A8">
      <w:pPr>
        <w:tabs>
          <w:tab w:val="left" w:pos="3180"/>
        </w:tabs>
        <w:jc w:val="center"/>
        <w:rPr>
          <w:rFonts w:ascii="微軟正黑體" w:eastAsia="微軟正黑體" w:hAnsi="微軟正黑體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A755A8" w:rsidRDefault="00A755A8" w:rsidP="00A755A8">
      <w:pPr>
        <w:tabs>
          <w:tab w:val="left" w:pos="3180"/>
        </w:tabs>
        <w:jc w:val="center"/>
        <w:rPr>
          <w:rFonts w:ascii="微軟正黑體" w:eastAsia="微軟正黑體" w:hAnsi="微軟正黑體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A755A8" w:rsidRDefault="00A755A8" w:rsidP="00A755A8">
      <w:pPr>
        <w:tabs>
          <w:tab w:val="left" w:pos="3180"/>
        </w:tabs>
        <w:jc w:val="center"/>
        <w:rPr>
          <w:rFonts w:ascii="微軟正黑體" w:eastAsia="微軟正黑體" w:hAnsi="微軟正黑體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A755A8" w:rsidRDefault="00A755A8" w:rsidP="00A755A8">
      <w:pPr>
        <w:tabs>
          <w:tab w:val="left" w:pos="3180"/>
        </w:tabs>
        <w:jc w:val="center"/>
        <w:rPr>
          <w:rFonts w:ascii="微軟正黑體" w:eastAsia="微軟正黑體" w:hAnsi="微軟正黑體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:rsidR="00A755A8" w:rsidRDefault="00A755A8" w:rsidP="00A755A8">
      <w:pPr>
        <w:tabs>
          <w:tab w:val="left" w:pos="3180"/>
        </w:tabs>
        <w:jc w:val="center"/>
        <w:rPr>
          <w:rFonts w:ascii="微軟正黑體" w:eastAsia="微軟正黑體" w:hAnsi="微軟正黑體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微軟正黑體" w:eastAsia="微軟正黑體" w:hAnsi="微軟正黑體" w:hint="eastAsia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lastRenderedPageBreak/>
        <w:t>防治方法:巡,倒,清,刷</w:t>
      </w:r>
    </w:p>
    <w:p w:rsidR="00A755A8" w:rsidRPr="00A755A8" w:rsidRDefault="00A755A8" w:rsidP="00A755A8">
      <w:pPr>
        <w:tabs>
          <w:tab w:val="left" w:pos="3180"/>
        </w:tabs>
        <w:jc w:val="center"/>
        <w:rPr>
          <w:rFonts w:ascii="微軟正黑體" w:eastAsia="微軟正黑體" w:hAnsi="微軟正黑體" w:hint="eastAsia"/>
          <w:sz w:val="72"/>
          <w:szCs w:val="72"/>
        </w:rPr>
      </w:pPr>
      <w:bookmarkStart w:id="0" w:name="_GoBack"/>
      <w:r>
        <w:rPr>
          <w:rFonts w:ascii="微軟正黑體" w:eastAsia="微軟正黑體" w:hAnsi="微軟正黑體" w:hint="eastAsia"/>
          <w:noProof/>
          <w:sz w:val="72"/>
          <w:szCs w:val="72"/>
        </w:rPr>
        <w:drawing>
          <wp:inline distT="0" distB="0" distL="0" distR="0">
            <wp:extent cx="5274310" cy="3728720"/>
            <wp:effectExtent l="0" t="0" r="254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776630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55A8" w:rsidRPr="00A755A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D14" w:rsidRDefault="00057D14" w:rsidP="00A755A8">
      <w:r>
        <w:separator/>
      </w:r>
    </w:p>
  </w:endnote>
  <w:endnote w:type="continuationSeparator" w:id="0">
    <w:p w:rsidR="00057D14" w:rsidRDefault="00057D14" w:rsidP="00A7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D14" w:rsidRDefault="00057D14" w:rsidP="00A755A8">
      <w:r>
        <w:separator/>
      </w:r>
    </w:p>
  </w:footnote>
  <w:footnote w:type="continuationSeparator" w:id="0">
    <w:p w:rsidR="00057D14" w:rsidRDefault="00057D14" w:rsidP="00A75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5A8" w:rsidRDefault="00A755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20"/>
    <w:rsid w:val="00057D14"/>
    <w:rsid w:val="008B45E4"/>
    <w:rsid w:val="00A755A8"/>
    <w:rsid w:val="00B57E20"/>
    <w:rsid w:val="00EE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BF7F1-E4C9-4F40-93C1-B0FDE868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E419E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E419E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EE419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755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55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55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55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37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2015-09-15T06:55:00Z</dcterms:created>
  <dcterms:modified xsi:type="dcterms:W3CDTF">2015-09-22T06:43:00Z</dcterms:modified>
</cp:coreProperties>
</file>