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91" w:rsidRDefault="00F67A9A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>
        <w:rPr>
          <w:rFonts w:hint="eastAsia"/>
        </w:rPr>
        <w:t>網址</w:t>
      </w:r>
      <w:r>
        <w:rPr>
          <w:rFonts w:hint="eastAsia"/>
        </w:rPr>
        <w:t>:</w:t>
      </w:r>
      <w:r w:rsidR="00EE2791" w:rsidRPr="00EE2791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1F4507"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 xml:space="preserve">  </w:t>
      </w:r>
      <w:r w:rsidR="001F4507" w:rsidRPr="001F4507">
        <w:rPr>
          <w:rFonts w:ascii="Arial" w:hAnsi="Arial" w:cs="Arial"/>
          <w:color w:val="666666"/>
          <w:sz w:val="28"/>
          <w:szCs w:val="28"/>
          <w:shd w:val="clear" w:color="auto" w:fill="FFFFFF"/>
        </w:rPr>
        <w:t>http://town.chcg.gov.tw/erhlin/07other/main.asp?main_id=1261</w:t>
      </w:r>
    </w:p>
    <w:p w:rsidR="00EE2791" w:rsidRDefault="00EE2791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EE2791" w:rsidRDefault="00EE2791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EE2791" w:rsidRDefault="00EE2791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>內容</w:t>
      </w:r>
      <w:r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>:</w:t>
      </w:r>
      <w:r w:rsidRPr="00EE2791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1F4507">
        <w:rPr>
          <w:rFonts w:hint="eastAsia"/>
          <w:color w:val="000000"/>
          <w:sz w:val="27"/>
          <w:szCs w:val="27"/>
          <w:shd w:val="clear" w:color="auto" w:fill="FFFFFF"/>
        </w:rPr>
        <w:t>本省農民運動的產生，來自「一九二五（大正十四）年對土地撥付政策推行的</w:t>
      </w:r>
      <w:proofErr w:type="gramStart"/>
      <w:r w:rsidR="001F4507">
        <w:rPr>
          <w:rFonts w:hint="eastAsia"/>
          <w:color w:val="000000"/>
          <w:sz w:val="27"/>
          <w:szCs w:val="27"/>
          <w:shd w:val="clear" w:color="auto" w:fill="FFFFFF"/>
        </w:rPr>
        <w:t>不滿，</w:t>
      </w:r>
      <w:proofErr w:type="gramEnd"/>
      <w:r w:rsidR="001F4507">
        <w:rPr>
          <w:rFonts w:hint="eastAsia"/>
          <w:color w:val="000000"/>
          <w:sz w:val="27"/>
          <w:szCs w:val="27"/>
          <w:shd w:val="clear" w:color="auto" w:fill="FFFFFF"/>
        </w:rPr>
        <w:t>及文協思想的啟蒙，遂使農民由經濟的要求指向政策，變成反帝國主義的實際運動」。在運動本身而言，雖「是一種純粹的經濟問題，但因對手的絕大部分是所謂『</w:t>
      </w:r>
      <w:r w:rsidR="001F4507" w:rsidRPr="001F4507">
        <w:rPr>
          <w:rFonts w:hint="eastAsia"/>
          <w:color w:val="5B9BD5" w:themeColor="accent1"/>
          <w:sz w:val="27"/>
          <w:szCs w:val="27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殖民者</w:t>
      </w:r>
      <w:r w:rsidR="001F4507">
        <w:rPr>
          <w:rFonts w:hint="eastAsia"/>
          <w:color w:val="000000"/>
          <w:sz w:val="27"/>
          <w:szCs w:val="27"/>
          <w:shd w:val="clear" w:color="auto" w:fill="FFFFFF"/>
        </w:rPr>
        <w:t>』的日本人，所以它的性質仍是不折不扣的民族運動」。至於總督府編的《台灣總督府警察沿革誌》則認為本省農民運動起源於兩端，一為本島農業的發展大約接近於飽和點，一為台灣文化協會的民族啟蒙運動的影響。此一影響自大正十二、三年（一九二三、四年）前後起逐漸展現端倪，在文化協會幹部等的直接領導之下，首先發展為蔗農對於糖業公司的團體運動，開始具備農民爭議的型態。因此要瞭解本鎮在日治時期發生的「二林事件」，則必須先探究日本對台灣糖業的經營和政策的制定及，以及蔗農與製糖會社的關係，才能得其結果。</w:t>
      </w:r>
    </w:p>
    <w:p w:rsidR="00EE2791" w:rsidRDefault="00EE2791">
      <w:pPr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EE2791" w:rsidRPr="00EE2791" w:rsidRDefault="00EE2791">
      <w:pPr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>摘要</w:t>
      </w:r>
      <w:r w:rsidR="001F4507">
        <w:rPr>
          <w:rFonts w:ascii="Arial" w:hAnsi="Arial" w:cs="Arial" w:hint="eastAsia"/>
          <w:color w:val="666666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sectPr w:rsidR="00EE2791" w:rsidRPr="00EE27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9A"/>
    <w:rsid w:val="001F4507"/>
    <w:rsid w:val="00A1489F"/>
    <w:rsid w:val="00D60687"/>
    <w:rsid w:val="00EE2791"/>
    <w:rsid w:val="00F6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316D-BA40-4F12-8A2E-5C30562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7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2015-12-29T02:27:00Z</dcterms:created>
  <dcterms:modified xsi:type="dcterms:W3CDTF">2015-12-29T03:04:00Z</dcterms:modified>
</cp:coreProperties>
</file>