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lef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left w:type="dxa" w:w="0"/>
                                      <w:bottom w:type="dxa" w:w="0"/>
                                      <w:right w:type="dxa" w:w="0"/>
                                    </w:tcMar>
                                  </w:tcPr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6900"/>
                                    </w:tblGrid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690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style22"/>
                                            <w:jc w:val="left"/>
                                          </w:pPr>
                                          <w:r>
                                            <w:rPr>
                                              <w:color w:val="003366"/>
                                            </w:rPr>
                                            <w:t>...................</w:t>
                                          </w:r>
                                          <w:r>
                                            <w:rPr>
                                              <w:color w:val="003366"/>
                                            </w:rPr>
                                            <w:t xml:space="preserve">劉松旺 </w:t>
                                          </w:r>
                                          <w:r>
                                            <w:rPr>
                                              <w:color w:val="003366"/>
                                            </w:rPr>
                                            <w:t>(</w:t>
                                          </w:r>
                                          <w:r>
                                            <w:rPr>
                                              <w:color w:val="003366"/>
                                            </w:rPr>
                                            <w:t>南投縣中興高中</w:t>
                                          </w:r>
                                          <w:r>
                                            <w:rPr>
                                              <w:color w:val="003366"/>
                                            </w:rPr>
                                            <w:t>)..........................................................................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22"/>
                                    </w:pPr>
                                    <w:r>
                                      <w:rPr/>
                                    </w:r>
                                  </w:p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trHeight w:hRule="atLeast" w:val="165"/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style22"/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jc w:val="left"/>
                                            <w:tblBorders/>
                                          </w:tblPr>
                                          <w:tblGrid>
                                            <w:gridCol w:w="300"/>
                                            <w:gridCol w:w="6600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3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66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  <w:jc w:val="left"/>
                                                </w:pPr>
                                                <w:r>
                                                  <w:rPr>
                                                    <w:color w:val="663300"/>
                                                  </w:rPr>
                                                  <w:drawing>
                                                    <wp:inline distB="0" distL="0" distR="0" distT="0">
                                                      <wp:extent cx="200025" cy="180975"/>
                                                      <wp:effectExtent b="0" l="0" r="0" t="0"/>
                                                      <wp:docPr descr="" id="0" name="Pictur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descr="" id="0" name="Picture"/>
                                                              <pic:cNvPicPr>
                                                                <a:picLocks noChangeArrowheads="1" noChangeAspect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2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0025" cy="1809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color w:val="663300"/>
                                                  </w:rPr>
                                                  <w:t>在國際服務中學習　致力建立志工服務平台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3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66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3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  <w:drawing>
                                                    <wp:anchor allowOverlap="1" behindDoc="0" distB="0" distL="0" distR="0" distT="0" layoutInCell="1" locked="0" relativeHeight="1" simplePos="0">
                                                      <wp:simplePos x="0" y="0"/>
                                                      <wp:positionH relativeFrom="column">
                                                        <wp:posOffset>211455</wp:posOffset>
                                                      </wp:positionH>
                                                      <wp:positionV relativeFrom="paragraph">
                                                        <wp:posOffset>4114165</wp:posOffset>
                                                      </wp:positionV>
                                                      <wp:extent cx="4128135" cy="3172460"/>
                                                      <wp:effectExtent b="0" l="0" r="0" t="0"/>
                                                      <wp:wrapSquare wrapText="largest"/>
                                                      <wp:docPr descr="" id="1" name="Pictur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descr="" id="1" name="Picture"/>
                                                              <pic:cNvPicPr>
                                                                <a:picLocks noChangeArrowheads="1" noChangeAspect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128135" cy="31724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anchor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66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  <w:spacing w:after="283" w:before="0"/>
                                                  <w:contextualSpacing w:val="false"/>
                                                  <w:jc w:val="left"/>
                                                </w:pPr>
                                                <w:r>
                                                  <w:rPr/>
                                                  <w:t xml:space="preserve">曾經很叛逆的松旺，在志願服務中發現自己幸福，因而下定決心，做個帶給別人快樂的志工。陸續參與了童軍社，前往幼稚園、老人院服務。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>上了高中後，松旺的志工服務開始以擔任國際志工為主，他參與伊甸基金會的海外服務，在甘肅擔任教育志工，陪伴孩子學習；在泰北戒毒村陪伴戒毒患者，對抗毒癮。在多次的服務之後，他發現學校竟然沒有一個做志工服務的相關社團，因此在升高三的暑假，他在學校創立志工服務社，舉辦飢餓</w:t>
                                                </w:r>
                                                <w:r>
                                                  <w:rPr/>
                                                  <w:t>12</w:t>
                                                </w:r>
                                                <w:r>
                                                  <w:rPr/>
                                                  <w:t xml:space="preserve">體驗、夜市義賣、社區生態維護等活動，來幫助老幼及弱勢族群。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 xml:space="preserve">「我不是去服務的，我是去學習的。」這句話一直讓松旺感觸良多。他說，在服務的過程中，看到世界上有許多需要幫助的人，發現自己遇到的困難其實都很渺小。未來，他希望將志工社變成一個志工平台，匯集南投附近地區的志工資訊，讓當地有志參與服務的人，都能知道哪兒有人需要幫忙。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style22"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style22"/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22"/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style22"/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style22"/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style22"/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style22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bookmarkStart w:id="0" w:name="_GoBack"/>
      <w:bookmarkStart w:id="1" w:name="_GoBack"/>
      <w:bookmarkEnd w:id="1"/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1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</w:t>
      </w:r>
      <w:r>
        <w:rPr>
          <w:szCs w:val="24"/>
          <w:lang w:eastAsia="zh-TW"/>
        </w:rPr>
        <w:t>他們的目標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Cs w:val="24"/>
          <w:lang w:eastAsia="zh-TW"/>
        </w:rPr>
        <w:t>要學習如何改變別人的人生</w:t>
      </w:r>
      <w:r>
        <w:rPr>
          <w:sz w:val="24"/>
          <w:szCs w:val="24"/>
          <w:lang w:eastAsia="zh-TW"/>
        </w:rPr>
        <w:t>!!!</w:t>
      </w:r>
    </w:p>
    <w:p>
      <w:pPr>
        <w:pStyle w:val="style21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Cs w:val="24"/>
          <w:lang w:eastAsia="zh-TW"/>
        </w:rPr>
        <w:t>努力</w:t>
      </w:r>
      <w:r>
        <w:rPr>
          <w:rFonts w:ascii="" w:hAnsi=""/>
          <w:sz w:val="24"/>
          <w:szCs w:val="24"/>
          <w:lang w:eastAsia="zh-TW"/>
        </w:rPr>
        <w:t>.</w:t>
      </w:r>
      <w:r>
        <w:rPr>
          <w:rFonts w:ascii="" w:hAnsi=""/>
          <w:szCs w:val="24"/>
          <w:lang w:eastAsia="zh-TW"/>
        </w:rPr>
        <w:t>認真</w:t>
      </w:r>
      <w:r>
        <w:rPr>
          <w:rFonts w:ascii="" w:hAnsi=""/>
          <w:sz w:val="24"/>
          <w:szCs w:val="24"/>
          <w:lang w:eastAsia="zh-TW"/>
        </w:rPr>
        <w:t>.</w:t>
      </w:r>
      <w:r>
        <w:rPr>
          <w:rFonts w:ascii="" w:hAnsi=""/>
          <w:szCs w:val="24"/>
          <w:lang w:eastAsia="zh-TW"/>
        </w:rPr>
        <w:t>孝順</w:t>
      </w:r>
      <w:r>
        <w:rPr>
          <w:rFonts w:ascii="" w:hAnsi=""/>
          <w:sz w:val="24"/>
          <w:szCs w:val="24"/>
          <w:lang w:eastAsia="zh-TW"/>
        </w:rPr>
        <w:t>!!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Cs w:val="24"/>
          <w:lang w:eastAsia="zh-TW"/>
        </w:rPr>
        <w:t>更成熟</w:t>
      </w:r>
      <w:r>
        <w:rPr>
          <w:rFonts w:ascii="" w:hAnsi=""/>
          <w:sz w:val="24"/>
          <w:szCs w:val="24"/>
          <w:lang w:eastAsia="zh-TW"/>
        </w:rPr>
        <w:t>!!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0"/>
      </w:pPr>
      <w:r>
        <w:rPr/>
      </w:r>
    </w:p>
    <w:sectPr>
      <w:type w:val="nextPage"/>
      <w:pgSz w:h="16838" w:w="11906"/>
      <w:pgMar w:bottom="720" w:footer="0" w:gutter="0" w:header="0" w:left="309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lvlText w:val="%2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lvlText w:val="%5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lvlText w:val="%8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lvlText w:val="%2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lvlText w:val="%5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lvlText w:val="%8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hanging="0" w:left="480" w:right="0"/>
    </w:pPr>
    <w:rPr/>
  </w:style>
  <w:style w:styleId="style22" w:type="paragraph">
    <w:name w:val="表格內容"/>
    <w:basedOn w:val="style0"/>
    <w:next w:val="style22"/>
    <w:pPr>
      <w:suppressLineNumbers/>
    </w:pPr>
    <w:rPr/>
  </w:style>
  <w:style w:styleId="style23" w:type="paragraph">
    <w:name w:val="表格標題"/>
    <w:basedOn w:val="style22"/>
    <w:next w:val="style2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images/button002.gif" TargetMode="External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